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bookmarkStart w:id="0" w:name="_GoBack"/>
      <w:r w:rsidRPr="00DF3F33">
        <w:rPr>
          <w:rFonts w:ascii="CIDFont+F1" w:eastAsia="Times New Roman" w:hAnsi="CIDFont+F1" w:cs="Times New Roman"/>
          <w:color w:val="00008E"/>
          <w:position w:val="0"/>
          <w:sz w:val="36"/>
          <w:szCs w:val="36"/>
        </w:rPr>
        <w:t xml:space="preserve">Instructions: Written Brief and Video </w:t>
      </w:r>
    </w:p>
    <w:bookmarkEnd w:id="0"/>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written component must be in MS Word (a .doc or .</w:t>
      </w:r>
      <w:proofErr w:type="spellStart"/>
      <w:r w:rsidRPr="00DF3F33">
        <w:rPr>
          <w:rFonts w:ascii="CIDFont+F2" w:eastAsia="Times New Roman" w:hAnsi="CIDFont+F2" w:cs="Times New Roman"/>
          <w:position w:val="0"/>
          <w:szCs w:val="22"/>
        </w:rPr>
        <w:t>docx</w:t>
      </w:r>
      <w:proofErr w:type="spellEnd"/>
      <w:r w:rsidRPr="00DF3F33">
        <w:rPr>
          <w:rFonts w:ascii="CIDFont+F2" w:eastAsia="Times New Roman" w:hAnsi="CIDFont+F2" w:cs="Times New Roman"/>
          <w:position w:val="0"/>
          <w:szCs w:val="22"/>
        </w:rPr>
        <w:t xml:space="preserve">).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1" w:eastAsia="Times New Roman" w:hAnsi="CIDFont+F1" w:cs="Times New Roman"/>
          <w:position w:val="0"/>
          <w:szCs w:val="22"/>
        </w:rPr>
        <w:t>Word Limit: 1500 words</w:t>
      </w:r>
      <w:r w:rsidRPr="00DF3F33">
        <w:rPr>
          <w:rFonts w:ascii="CIDFont+F2" w:eastAsia="Times New Roman" w:hAnsi="CIDFont+F2" w:cs="Times New Roman"/>
          <w:position w:val="0"/>
          <w:szCs w:val="22"/>
        </w:rPr>
        <w:t xml:space="preserve">, not including references. If the word limit is exceeded by more than 10%, 1.5 marks will be deducted for each 100 words (or part </w:t>
      </w:r>
      <w:proofErr w:type="spellStart"/>
      <w:r w:rsidRPr="00DF3F33">
        <w:rPr>
          <w:rFonts w:ascii="CIDFont+F2" w:eastAsia="Times New Roman" w:hAnsi="CIDFont+F2" w:cs="Times New Roman"/>
          <w:position w:val="0"/>
          <w:szCs w:val="22"/>
        </w:rPr>
        <w:t>therof</w:t>
      </w:r>
      <w:proofErr w:type="spellEnd"/>
      <w:r w:rsidRPr="00DF3F33">
        <w:rPr>
          <w:rFonts w:ascii="CIDFont+F2" w:eastAsia="Times New Roman" w:hAnsi="CIDFont+F2" w:cs="Times New Roman"/>
          <w:position w:val="0"/>
          <w:szCs w:val="22"/>
        </w:rPr>
        <w:t xml:space="preserve">) over the 10% threshold.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1" w:eastAsia="Times New Roman" w:hAnsi="CIDFont+F1" w:cs="Times New Roman"/>
          <w:position w:val="0"/>
          <w:szCs w:val="22"/>
        </w:rPr>
        <w:t xml:space="preserve">Points: </w:t>
      </w:r>
      <w:r w:rsidRPr="00DF3F33">
        <w:rPr>
          <w:rFonts w:ascii="CIDFont+F2" w:eastAsia="Times New Roman" w:hAnsi="CIDFont+F2" w:cs="Times New Roman"/>
          <w:position w:val="0"/>
          <w:szCs w:val="22"/>
        </w:rPr>
        <w:t xml:space="preserve">The assessment item has two components: a written brief and a video (see ‘Instructions’ below). This assignment is worth </w:t>
      </w:r>
      <w:r w:rsidRPr="00DF3F33">
        <w:rPr>
          <w:rFonts w:ascii="CIDFont+F1" w:eastAsia="Times New Roman" w:hAnsi="CIDFont+F1" w:cs="Times New Roman"/>
          <w:position w:val="0"/>
          <w:szCs w:val="22"/>
        </w:rPr>
        <w:t xml:space="preserve">40% </w:t>
      </w:r>
      <w:r w:rsidRPr="00DF3F33">
        <w:rPr>
          <w:rFonts w:ascii="CIDFont+F2" w:eastAsia="Times New Roman" w:hAnsi="CIDFont+F2" w:cs="Times New Roman"/>
          <w:position w:val="0"/>
          <w:szCs w:val="22"/>
        </w:rPr>
        <w:t xml:space="preserve">of your final grade: </w:t>
      </w:r>
      <w:r w:rsidRPr="00DF3F33">
        <w:rPr>
          <w:rFonts w:ascii="CIDFont+F1" w:eastAsia="Times New Roman" w:hAnsi="CIDFont+F1" w:cs="Times New Roman"/>
          <w:position w:val="0"/>
          <w:szCs w:val="22"/>
        </w:rPr>
        <w:t xml:space="preserve">30% </w:t>
      </w:r>
      <w:r w:rsidRPr="00DF3F33">
        <w:rPr>
          <w:rFonts w:ascii="CIDFont+F2" w:eastAsia="Times New Roman" w:hAnsi="CIDFont+F2" w:cs="Times New Roman"/>
          <w:position w:val="0"/>
          <w:szCs w:val="22"/>
        </w:rPr>
        <w:t xml:space="preserve">for the written brief and </w:t>
      </w:r>
      <w:r w:rsidRPr="00DF3F33">
        <w:rPr>
          <w:rFonts w:ascii="CIDFont+F1" w:eastAsia="Times New Roman" w:hAnsi="CIDFont+F1" w:cs="Times New Roman"/>
          <w:position w:val="0"/>
          <w:szCs w:val="22"/>
        </w:rPr>
        <w:t xml:space="preserve">10% </w:t>
      </w:r>
      <w:r w:rsidRPr="00DF3F33">
        <w:rPr>
          <w:rFonts w:ascii="CIDFont+F2" w:eastAsia="Times New Roman" w:hAnsi="CIDFont+F2" w:cs="Times New Roman"/>
          <w:position w:val="0"/>
          <w:szCs w:val="22"/>
        </w:rPr>
        <w:t xml:space="preserve">for the video.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1" w:eastAsia="Times New Roman" w:hAnsi="CIDFont+F1" w:cs="Times New Roman"/>
          <w:position w:val="0"/>
          <w:szCs w:val="22"/>
        </w:rPr>
        <w:t xml:space="preserve">Rationale: </w:t>
      </w:r>
      <w:r w:rsidRPr="00DF3F33">
        <w:rPr>
          <w:rFonts w:ascii="CIDFont+F2" w:eastAsia="Times New Roman" w:hAnsi="CIDFont+F2" w:cs="Times New Roman"/>
          <w:position w:val="0"/>
          <w:szCs w:val="22"/>
        </w:rPr>
        <w:t xml:space="preserve">The purpose of this assignment is to build skills in communication, analysing legal issues raised by technologies, and developing arguments about legal frameworks and law reform.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The written brief requires you to analyse a complex policy problem and write a short document setting out key information about this and making a recommendation. Policy analysis typically engages with questions of whether a policy is: </w:t>
      </w:r>
    </w:p>
    <w:p w:rsidR="00DF3F33" w:rsidRPr="00DF3F33" w:rsidRDefault="00DF3F33" w:rsidP="00DF3F33">
      <w:pPr>
        <w:numPr>
          <w:ilvl w:val="0"/>
          <w:numId w:val="1"/>
        </w:num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legally permissible, </w:t>
      </w:r>
      <w:proofErr w:type="spellStart"/>
      <w:r w:rsidRPr="00DF3F33">
        <w:rPr>
          <w:rFonts w:ascii="CIDFont+F2" w:eastAsia="Times New Roman" w:hAnsi="CIDFont+F2" w:cs="Times New Roman"/>
          <w:position w:val="0"/>
          <w:szCs w:val="22"/>
        </w:rPr>
        <w:t>eg</w:t>
      </w:r>
      <w:proofErr w:type="spellEnd"/>
      <w:r w:rsidRPr="00DF3F33">
        <w:rPr>
          <w:rFonts w:ascii="CIDFont+F2" w:eastAsia="Times New Roman" w:hAnsi="CIDFont+F2" w:cs="Times New Roman"/>
          <w:position w:val="0"/>
          <w:szCs w:val="22"/>
        </w:rPr>
        <w:t xml:space="preserve"> does a government have the constitutional authority to pass law that gives effect to the policy </w:t>
      </w:r>
      <w:r>
        <w:rPr>
          <w:rFonts w:ascii="CIDFont+F2" w:eastAsia="Times New Roman" w:hAnsi="CIDFont+F2" w:cs="Times New Roman"/>
          <w:position w:val="0"/>
          <w:szCs w:val="22"/>
        </w:rPr>
        <w:br/>
      </w:r>
    </w:p>
    <w:p w:rsidR="00DF3F33" w:rsidRPr="00DF3F33" w:rsidRDefault="00DF3F33" w:rsidP="00DF3F33">
      <w:pPr>
        <w:numPr>
          <w:ilvl w:val="0"/>
          <w:numId w:val="1"/>
        </w:num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proportionate, </w:t>
      </w:r>
      <w:proofErr w:type="spellStart"/>
      <w:r w:rsidRPr="00DF3F33">
        <w:rPr>
          <w:rFonts w:ascii="CIDFont+F2" w:eastAsia="Times New Roman" w:hAnsi="CIDFont+F2" w:cs="Times New Roman"/>
          <w:position w:val="0"/>
          <w:szCs w:val="22"/>
        </w:rPr>
        <w:t>eg</w:t>
      </w:r>
      <w:proofErr w:type="spellEnd"/>
      <w:r w:rsidRPr="00DF3F33">
        <w:rPr>
          <w:rFonts w:ascii="CIDFont+F2" w:eastAsia="Times New Roman" w:hAnsi="CIDFont+F2" w:cs="Times New Roman"/>
          <w:position w:val="0"/>
          <w:szCs w:val="22"/>
        </w:rPr>
        <w:t xml:space="preserve"> just because you can do something does not mean you should or must, with courts often encouraging government agencies not to mistake bureaucratic convenience for necessity </w:t>
      </w:r>
      <w:r>
        <w:rPr>
          <w:rFonts w:ascii="CIDFont+F2" w:eastAsia="Times New Roman" w:hAnsi="CIDFont+F2" w:cs="Times New Roman"/>
          <w:position w:val="0"/>
          <w:szCs w:val="22"/>
        </w:rPr>
        <w:br/>
      </w:r>
    </w:p>
    <w:p w:rsidR="00DF3F33" w:rsidRPr="00DF3F33" w:rsidRDefault="00DF3F33" w:rsidP="00DF3F33">
      <w:pPr>
        <w:numPr>
          <w:ilvl w:val="0"/>
          <w:numId w:val="1"/>
        </w:num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administratively viable, </w:t>
      </w:r>
      <w:proofErr w:type="spellStart"/>
      <w:r w:rsidRPr="00DF3F33">
        <w:rPr>
          <w:rFonts w:ascii="CIDFont+F2" w:eastAsia="Times New Roman" w:hAnsi="CIDFont+F2" w:cs="Times New Roman"/>
          <w:position w:val="0"/>
          <w:szCs w:val="22"/>
        </w:rPr>
        <w:t>eg</w:t>
      </w:r>
      <w:proofErr w:type="spellEnd"/>
      <w:r w:rsidRPr="00DF3F33">
        <w:rPr>
          <w:rFonts w:ascii="CIDFont+F2" w:eastAsia="Times New Roman" w:hAnsi="CIDFont+F2" w:cs="Times New Roman"/>
          <w:position w:val="0"/>
          <w:szCs w:val="22"/>
        </w:rPr>
        <w:t xml:space="preserve"> to what extent might it be subverted, will the cost of administration outweigh the claimed benefits, is it </w:t>
      </w:r>
      <w:proofErr w:type="spellStart"/>
      <w:r w:rsidRPr="00DF3F33">
        <w:rPr>
          <w:rFonts w:ascii="CIDFont+F2" w:eastAsia="Times New Roman" w:hAnsi="CIDFont+F2" w:cs="Times New Roman"/>
          <w:position w:val="0"/>
          <w:szCs w:val="22"/>
        </w:rPr>
        <w:t>groundbreaking</w:t>
      </w:r>
      <w:proofErr w:type="spellEnd"/>
      <w:r w:rsidRPr="00DF3F33">
        <w:rPr>
          <w:rFonts w:ascii="CIDFont+F2" w:eastAsia="Times New Roman" w:hAnsi="CIDFont+F2" w:cs="Times New Roman"/>
          <w:position w:val="0"/>
          <w:szCs w:val="22"/>
        </w:rPr>
        <w:t xml:space="preserve"> or an adaptation of an existing regulatory model </w:t>
      </w:r>
      <w:r>
        <w:rPr>
          <w:rFonts w:ascii="CIDFont+F2" w:eastAsia="Times New Roman" w:hAnsi="CIDFont+F2" w:cs="Times New Roman"/>
          <w:position w:val="0"/>
          <w:szCs w:val="22"/>
        </w:rPr>
        <w:br/>
      </w:r>
    </w:p>
    <w:p w:rsidR="00DF3F33" w:rsidRPr="00DF3F33" w:rsidRDefault="00DF3F33" w:rsidP="00DF3F33">
      <w:pPr>
        <w:numPr>
          <w:ilvl w:val="0"/>
          <w:numId w:val="1"/>
        </w:num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consistent with business and civil society expectations, </w:t>
      </w:r>
      <w:proofErr w:type="spellStart"/>
      <w:r w:rsidRPr="00DF3F33">
        <w:rPr>
          <w:rFonts w:ascii="CIDFont+F2" w:eastAsia="Times New Roman" w:hAnsi="CIDFont+F2" w:cs="Times New Roman"/>
          <w:position w:val="0"/>
          <w:szCs w:val="22"/>
        </w:rPr>
        <w:t>eg</w:t>
      </w:r>
      <w:proofErr w:type="spellEnd"/>
      <w:r w:rsidRPr="00DF3F33">
        <w:rPr>
          <w:rFonts w:ascii="CIDFont+F2" w:eastAsia="Times New Roman" w:hAnsi="CIDFont+F2" w:cs="Times New Roman"/>
          <w:position w:val="0"/>
          <w:szCs w:val="22"/>
        </w:rPr>
        <w:t xml:space="preserve"> notions that monopolies often result in ‘rent seeking’ (aka price gouging), that unduly restrictive regulation inhibits innovation that benefits consumers, that investors need sufficient incentives to take risks in funding research and market development </w:t>
      </w:r>
      <w:r>
        <w:rPr>
          <w:rFonts w:ascii="CIDFont+F2" w:eastAsia="Times New Roman" w:hAnsi="CIDFont+F2" w:cs="Times New Roman"/>
          <w:position w:val="0"/>
          <w:szCs w:val="22"/>
        </w:rPr>
        <w:br/>
      </w:r>
    </w:p>
    <w:p w:rsidR="00DF3F33" w:rsidRPr="00DF3F33" w:rsidRDefault="00DF3F33" w:rsidP="00DF3F33">
      <w:pPr>
        <w:numPr>
          <w:ilvl w:val="0"/>
          <w:numId w:val="1"/>
        </w:numPr>
        <w:spacing w:before="100" w:beforeAutospacing="1" w:after="100" w:afterAutospacing="1" w:line="276" w:lineRule="auto"/>
        <w:rPr>
          <w:rFonts w:ascii="Times New Roman" w:eastAsia="Times New Roman" w:hAnsi="Times New Roman" w:cs="Times New Roman"/>
          <w:position w:val="0"/>
          <w:sz w:val="24"/>
        </w:rPr>
      </w:pPr>
      <w:r>
        <w:rPr>
          <w:rFonts w:ascii="CIDFont+F3" w:eastAsia="Times New Roman" w:hAnsi="CIDFont+F3" w:cs="Times New Roman"/>
          <w:position w:val="0"/>
          <w:sz w:val="20"/>
          <w:szCs w:val="20"/>
        </w:rPr>
        <w:t>T</w:t>
      </w:r>
      <w:r w:rsidRPr="00DF3F33">
        <w:rPr>
          <w:rFonts w:ascii="CIDFont+F2" w:eastAsia="Times New Roman" w:hAnsi="CIDFont+F2" w:cs="Times New Roman"/>
          <w:position w:val="0"/>
          <w:szCs w:val="22"/>
        </w:rPr>
        <w:t xml:space="preserve">echnologically realistic </w:t>
      </w:r>
    </w:p>
    <w:p w:rsidR="00DF3F33" w:rsidRPr="00DF3F33" w:rsidRDefault="00DF3F33" w:rsidP="00DF3F33">
      <w:pPr>
        <w:spacing w:before="100" w:beforeAutospacing="1" w:after="100" w:afterAutospacing="1" w:line="276" w:lineRule="auto"/>
        <w:ind w:left="720"/>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The short word length mirrors </w:t>
      </w:r>
      <w:proofErr w:type="gramStart"/>
      <w:r w:rsidRPr="00DF3F33">
        <w:rPr>
          <w:rFonts w:ascii="CIDFont+F2" w:eastAsia="Times New Roman" w:hAnsi="CIDFont+F2" w:cs="Times New Roman"/>
          <w:position w:val="0"/>
          <w:szCs w:val="22"/>
        </w:rPr>
        <w:t>tasks</w:t>
      </w:r>
      <w:proofErr w:type="gramEnd"/>
      <w:r w:rsidRPr="00DF3F33">
        <w:rPr>
          <w:rFonts w:ascii="CIDFont+F2" w:eastAsia="Times New Roman" w:hAnsi="CIDFont+F2" w:cs="Times New Roman"/>
          <w:position w:val="0"/>
          <w:szCs w:val="22"/>
        </w:rPr>
        <w:t xml:space="preserve"> you are likely to encounter in your professional work. For example, briefings for Ministers are often limited to two pages, so the writer has to carefully consider what information is crucial to include and communicate this concisely. </w:t>
      </w:r>
    </w:p>
    <w:p w:rsidR="00DF3F33" w:rsidRPr="00DF3F33" w:rsidRDefault="00DF3F33" w:rsidP="00DF3F33">
      <w:pPr>
        <w:spacing w:before="100" w:beforeAutospacing="1" w:after="100" w:afterAutospacing="1" w:line="276" w:lineRule="auto"/>
        <w:ind w:left="720"/>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The video also mirrors likely real-life scenarios. Often, you will only have a couple of minutes of a senior colleague’s time and you will need to clearly explain a problem, two or three key points about it and your recommended action.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1" w:eastAsia="Times New Roman" w:hAnsi="CIDFont+F1" w:cs="Times New Roman"/>
          <w:position w:val="0"/>
          <w:szCs w:val="22"/>
        </w:rPr>
        <w:lastRenderedPageBreak/>
        <w:t xml:space="preserve">Background Information: </w:t>
      </w:r>
    </w:p>
    <w:p w:rsidR="00DF3F33" w:rsidRPr="00DF3F33" w:rsidRDefault="00DF3F33" w:rsidP="00DF3F33">
      <w:pPr>
        <w:spacing w:before="100" w:beforeAutospacing="1" w:after="100" w:afterAutospacing="1" w:line="276" w:lineRule="auto"/>
        <w:ind w:left="720"/>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In late 2020, a Bill was introduced into the Australian Parliament proposing to bring in a code of conduct for news media and digital platforms to use when bargaining: </w:t>
      </w:r>
      <w:r w:rsidRPr="00DF3F33">
        <w:rPr>
          <w:rFonts w:ascii="CIDFont+F6" w:eastAsia="Times New Roman" w:hAnsi="CIDFont+F6" w:cs="Times New Roman"/>
          <w:position w:val="0"/>
          <w:szCs w:val="22"/>
        </w:rPr>
        <w:t xml:space="preserve">Treasury Laws Amendment (News Media and Digital Platforms Mandatory Bargaining Code) Bill 2020 </w:t>
      </w:r>
      <w:r w:rsidRPr="00DF3F33">
        <w:rPr>
          <w:rFonts w:ascii="CIDFont+F2" w:eastAsia="Times New Roman" w:hAnsi="CIDFont+F2" w:cs="Times New Roman"/>
          <w:position w:val="0"/>
          <w:szCs w:val="22"/>
        </w:rPr>
        <w:t>(</w:t>
      </w:r>
      <w:proofErr w:type="spellStart"/>
      <w:r w:rsidRPr="00DF3F33">
        <w:rPr>
          <w:rFonts w:ascii="CIDFont+F2" w:eastAsia="Times New Roman" w:hAnsi="CIDFont+F2" w:cs="Times New Roman"/>
          <w:position w:val="0"/>
          <w:szCs w:val="22"/>
        </w:rPr>
        <w:t>Cth</w:t>
      </w:r>
      <w:proofErr w:type="spellEnd"/>
      <w:r w:rsidRPr="00DF3F33">
        <w:rPr>
          <w:rFonts w:ascii="CIDFont+F2" w:eastAsia="Times New Roman" w:hAnsi="CIDFont+F2" w:cs="Times New Roman"/>
          <w:position w:val="0"/>
          <w:szCs w:val="22"/>
        </w:rPr>
        <w:t xml:space="preserve">). This was designed to address a specific policy issue.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2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Facebook and Google objected to this proposal. In early 2021, Facebook temporarily stopped Australian users from viewing or sharing news content on its platform. It then lifted this ban after negotiating changes to the Bill with the Australian Government. The Bill was then passed and became the </w:t>
      </w:r>
      <w:r w:rsidRPr="00DF3F33">
        <w:rPr>
          <w:rFonts w:ascii="CIDFont+F6" w:eastAsia="Times New Roman" w:hAnsi="CIDFont+F6" w:cs="Times New Roman"/>
          <w:position w:val="0"/>
          <w:szCs w:val="22"/>
        </w:rPr>
        <w:t xml:space="preserve">Treasury Laws Amendment (News Media and Digital Platforms Mandatory Bargaining Code) Act 2021 </w:t>
      </w:r>
      <w:r w:rsidRPr="00DF3F33">
        <w:rPr>
          <w:rFonts w:ascii="CIDFont+F2" w:eastAsia="Times New Roman" w:hAnsi="CIDFont+F2" w:cs="Times New Roman"/>
          <w:position w:val="0"/>
          <w:szCs w:val="22"/>
        </w:rPr>
        <w:t>(</w:t>
      </w:r>
      <w:proofErr w:type="spellStart"/>
      <w:r w:rsidRPr="00DF3F33">
        <w:rPr>
          <w:rFonts w:ascii="CIDFont+F2" w:eastAsia="Times New Roman" w:hAnsi="CIDFont+F2" w:cs="Times New Roman"/>
          <w:position w:val="0"/>
          <w:szCs w:val="22"/>
        </w:rPr>
        <w:t>Cth</w:t>
      </w:r>
      <w:proofErr w:type="spellEnd"/>
      <w:r w:rsidRPr="00DF3F33">
        <w:rPr>
          <w:rFonts w:ascii="CIDFont+F2" w:eastAsia="Times New Roman" w:hAnsi="CIDFont+F2" w:cs="Times New Roman"/>
          <w:position w:val="0"/>
          <w:szCs w:val="22"/>
        </w:rPr>
        <w:t xml:space="preserve">).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1" w:eastAsia="Times New Roman" w:hAnsi="CIDFont+F1" w:cs="Times New Roman"/>
          <w:position w:val="0"/>
          <w:szCs w:val="22"/>
        </w:rPr>
        <w:t xml:space="preserve">Instructions: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The assessment item has two components. Both must be undertaken.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Component 1: Written Brief</w:t>
      </w:r>
      <w:r w:rsidRPr="00DF3F33">
        <w:rPr>
          <w:rFonts w:ascii="CIDFont+F2" w:eastAsia="Times New Roman" w:hAnsi="CIDFont+F2" w:cs="Times New Roman"/>
          <w:position w:val="0"/>
          <w:szCs w:val="22"/>
        </w:rPr>
        <w:br/>
        <w:t xml:space="preserve">Imagine that you are a legal or policy officer in a government department, and you need to provide a briefing to your senior officers. Provide a written brief of up to 1500 words discussing the legal measure brought in by the Act and explaining why you think it is or is not a good idea. The discussion should consider not only the legal measure in its technological, social, and economic context and consider matters such as the proportionality, feasibility and likely effectiveness of the legal measure (see ‘Rationale’ above). You may also like to consider key stakeholder views on the measure as part of your analysis.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In your brief: </w:t>
      </w:r>
    </w:p>
    <w:p w:rsidR="00DF3F33" w:rsidRPr="00DF3F33" w:rsidRDefault="00DF3F33" w:rsidP="00DF3F33">
      <w:pPr>
        <w:numPr>
          <w:ilvl w:val="0"/>
          <w:numId w:val="2"/>
        </w:num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5" w:eastAsia="Times New Roman" w:hAnsi="CIDFont+F5" w:cs="Times New Roman"/>
          <w:position w:val="0"/>
          <w:sz w:val="24"/>
        </w:rPr>
        <w:t xml:space="preserve">Identify the key problem that the Act aims to address and explain why this issue is significant </w:t>
      </w:r>
    </w:p>
    <w:p w:rsidR="00DF3F33" w:rsidRPr="00DF3F33" w:rsidRDefault="00DF3F33" w:rsidP="00DF3F33">
      <w:pPr>
        <w:numPr>
          <w:ilvl w:val="0"/>
          <w:numId w:val="2"/>
        </w:num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5" w:eastAsia="Times New Roman" w:hAnsi="CIDFont+F5" w:cs="Times New Roman"/>
          <w:position w:val="0"/>
          <w:sz w:val="24"/>
        </w:rPr>
        <w:t xml:space="preserve">Briefly explain the relevant technology that gives rise to this issue </w:t>
      </w:r>
    </w:p>
    <w:p w:rsidR="00DF3F33" w:rsidRPr="00DF3F33" w:rsidRDefault="00DF3F33" w:rsidP="00DF3F33">
      <w:pPr>
        <w:numPr>
          <w:ilvl w:val="0"/>
          <w:numId w:val="2"/>
        </w:num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5" w:eastAsia="Times New Roman" w:hAnsi="CIDFont+F5" w:cs="Times New Roman"/>
          <w:position w:val="0"/>
          <w:sz w:val="24"/>
        </w:rPr>
        <w:t xml:space="preserve">Identify and explain the legal solution to the issue that was brought in </w:t>
      </w:r>
    </w:p>
    <w:p w:rsidR="00DF3F33" w:rsidRPr="00DF3F33" w:rsidRDefault="00DF3F33" w:rsidP="00DF3F33">
      <w:pPr>
        <w:spacing w:before="100" w:beforeAutospacing="1" w:after="100" w:afterAutospacing="1" w:line="276" w:lineRule="auto"/>
        <w:ind w:left="720"/>
        <w:rPr>
          <w:rFonts w:ascii="Times New Roman" w:eastAsia="Times New Roman" w:hAnsi="Times New Roman" w:cs="Times New Roman"/>
          <w:position w:val="0"/>
          <w:sz w:val="24"/>
        </w:rPr>
      </w:pPr>
      <w:r w:rsidRPr="00DF3F33">
        <w:rPr>
          <w:rFonts w:ascii="CIDFont+F5" w:eastAsia="Times New Roman" w:hAnsi="CIDFont+F5" w:cs="Times New Roman"/>
          <w:position w:val="0"/>
          <w:sz w:val="24"/>
        </w:rPr>
        <w:t xml:space="preserve">under the Act. This includes identifying which laws were changed. </w:t>
      </w:r>
    </w:p>
    <w:p w:rsidR="00DF3F33" w:rsidRPr="00DF3F33" w:rsidRDefault="00DF3F33" w:rsidP="00DF3F33">
      <w:pPr>
        <w:numPr>
          <w:ilvl w:val="0"/>
          <w:numId w:val="2"/>
        </w:num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5" w:eastAsia="Times New Roman" w:hAnsi="CIDFont+F5" w:cs="Times New Roman"/>
          <w:position w:val="0"/>
          <w:sz w:val="24"/>
        </w:rPr>
        <w:t xml:space="preserve">Evaluate this solution and form a recommendation as to whether this is or is not the most appropriate solution to the policy problem. Include your reasons for this recommendation, which can be informed by legal, </w:t>
      </w:r>
    </w:p>
    <w:p w:rsidR="00DF3F33" w:rsidRPr="00DF3F33" w:rsidRDefault="00DF3F33" w:rsidP="00DF3F33">
      <w:pPr>
        <w:spacing w:before="100" w:beforeAutospacing="1" w:after="100" w:afterAutospacing="1" w:line="276" w:lineRule="auto"/>
        <w:ind w:left="720"/>
        <w:rPr>
          <w:rFonts w:ascii="Times New Roman" w:eastAsia="Times New Roman" w:hAnsi="Times New Roman" w:cs="Times New Roman"/>
          <w:position w:val="0"/>
          <w:sz w:val="24"/>
        </w:rPr>
      </w:pPr>
      <w:r w:rsidRPr="00DF3F33">
        <w:rPr>
          <w:rFonts w:ascii="CIDFont+F5" w:eastAsia="Times New Roman" w:hAnsi="CIDFont+F5" w:cs="Times New Roman"/>
          <w:position w:val="0"/>
          <w:sz w:val="24"/>
        </w:rPr>
        <w:t xml:space="preserve">technological and economic arguments (see ‘Rationale’ above). </w:t>
      </w:r>
    </w:p>
    <w:p w:rsidR="00DF3F33" w:rsidRDefault="00DF3F33" w:rsidP="00DF3F33">
      <w:pPr>
        <w:spacing w:before="100" w:beforeAutospacing="1" w:after="100" w:afterAutospacing="1" w:line="276" w:lineRule="auto"/>
        <w:ind w:left="720"/>
        <w:rPr>
          <w:rFonts w:ascii="CIDFont+F2" w:eastAsia="Times New Roman" w:hAnsi="CIDFont+F2" w:cs="Times New Roman"/>
          <w:position w:val="0"/>
          <w:szCs w:val="22"/>
        </w:rPr>
      </w:pPr>
    </w:p>
    <w:p w:rsidR="00DF3F33" w:rsidRDefault="00DF3F33" w:rsidP="00DF3F33">
      <w:pPr>
        <w:spacing w:before="100" w:beforeAutospacing="1" w:after="100" w:afterAutospacing="1" w:line="276" w:lineRule="auto"/>
        <w:ind w:left="720"/>
        <w:rPr>
          <w:rFonts w:ascii="CIDFont+F2" w:eastAsia="Times New Roman" w:hAnsi="CIDFont+F2" w:cs="Times New Roman"/>
          <w:position w:val="0"/>
          <w:szCs w:val="22"/>
        </w:rPr>
      </w:pPr>
    </w:p>
    <w:p w:rsidR="00DF3F33" w:rsidRDefault="00DF3F33" w:rsidP="00DF3F33">
      <w:pPr>
        <w:spacing w:before="100" w:beforeAutospacing="1" w:after="100" w:afterAutospacing="1" w:line="276" w:lineRule="auto"/>
        <w:ind w:left="720"/>
        <w:rPr>
          <w:rFonts w:ascii="CIDFont+F2" w:eastAsia="Times New Roman" w:hAnsi="CIDFont+F2" w:cs="Times New Roman"/>
          <w:position w:val="0"/>
          <w:szCs w:val="22"/>
        </w:rPr>
      </w:pPr>
    </w:p>
    <w:p w:rsidR="00DF3F33" w:rsidRDefault="00DF3F33" w:rsidP="00DF3F33">
      <w:pPr>
        <w:spacing w:before="100" w:beforeAutospacing="1" w:after="100" w:afterAutospacing="1" w:line="276" w:lineRule="auto"/>
        <w:ind w:left="720"/>
        <w:rPr>
          <w:rFonts w:ascii="CIDFont+F2" w:eastAsia="Times New Roman" w:hAnsi="CIDFont+F2" w:cs="Times New Roman"/>
          <w:position w:val="0"/>
          <w:szCs w:val="22"/>
        </w:rPr>
      </w:pPr>
    </w:p>
    <w:p w:rsidR="00DF3F33" w:rsidRPr="00DF3F33" w:rsidRDefault="00DF3F33" w:rsidP="00DF3F33">
      <w:pPr>
        <w:spacing w:before="100" w:beforeAutospacing="1" w:after="100" w:afterAutospacing="1" w:line="276" w:lineRule="auto"/>
        <w:ind w:left="720"/>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Aim your analysis at a reader who is intelligent but not a technology or legal specialist. In other words, clarity and succinctness must be a priority. </w:t>
      </w:r>
    </w:p>
    <w:p w:rsidR="00DF3F33" w:rsidRPr="00DF3F33" w:rsidRDefault="00DF3F33" w:rsidP="00DF3F33">
      <w:pPr>
        <w:spacing w:before="100" w:beforeAutospacing="1" w:after="100" w:afterAutospacing="1" w:line="276" w:lineRule="auto"/>
        <w:ind w:left="720"/>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Your work must cite law and scholarly publications. The written component must cite a minimum of: </w:t>
      </w:r>
    </w:p>
    <w:p w:rsidR="00DF3F33" w:rsidRPr="00DF3F33" w:rsidRDefault="00DF3F33" w:rsidP="00DF3F33">
      <w:pPr>
        <w:numPr>
          <w:ilvl w:val="0"/>
          <w:numId w:val="4"/>
        </w:num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3" w:eastAsia="Times New Roman" w:hAnsi="CIDFont+F3" w:cs="Times New Roman"/>
          <w:position w:val="0"/>
          <w:szCs w:val="22"/>
        </w:rPr>
        <w:sym w:font="Symbol" w:char="F0B7"/>
      </w:r>
      <w:r w:rsidRPr="00DF3F33">
        <w:rPr>
          <w:rFonts w:ascii="CIDFont+F3" w:eastAsia="Times New Roman" w:hAnsi="CIDFont+F3" w:cs="Times New Roman"/>
          <w:position w:val="0"/>
          <w:szCs w:val="22"/>
        </w:rPr>
        <w:t xml:space="preserve">  </w:t>
      </w:r>
      <w:r w:rsidRPr="00DF3F33">
        <w:rPr>
          <w:rFonts w:ascii="CIDFont+F2" w:eastAsia="Times New Roman" w:hAnsi="CIDFont+F2" w:cs="Times New Roman"/>
          <w:position w:val="0"/>
          <w:szCs w:val="22"/>
        </w:rPr>
        <w:t xml:space="preserve">two relevant Australian statutes (enactments of a legislature), and </w:t>
      </w:r>
    </w:p>
    <w:p w:rsidR="00DF3F33" w:rsidRPr="00DF3F33" w:rsidRDefault="00DF3F33" w:rsidP="00DF3F33">
      <w:pPr>
        <w:numPr>
          <w:ilvl w:val="0"/>
          <w:numId w:val="4"/>
        </w:num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3" w:eastAsia="Times New Roman" w:hAnsi="CIDFont+F3" w:cs="Times New Roman"/>
          <w:position w:val="0"/>
          <w:szCs w:val="22"/>
        </w:rPr>
        <w:sym w:font="Symbol" w:char="F0B7"/>
      </w:r>
      <w:r w:rsidRPr="00DF3F33">
        <w:rPr>
          <w:rFonts w:ascii="CIDFont+F3" w:eastAsia="Times New Roman" w:hAnsi="CIDFont+F3" w:cs="Times New Roman"/>
          <w:position w:val="0"/>
          <w:szCs w:val="22"/>
        </w:rPr>
        <w:t xml:space="preserve">  </w:t>
      </w:r>
      <w:r w:rsidRPr="00DF3F33">
        <w:rPr>
          <w:rFonts w:ascii="CIDFont+F2" w:eastAsia="Times New Roman" w:hAnsi="CIDFont+F2" w:cs="Times New Roman"/>
          <w:position w:val="0"/>
          <w:szCs w:val="22"/>
        </w:rPr>
        <w:t xml:space="preserve">five relevant scholarly secondary sources. </w:t>
      </w:r>
    </w:p>
    <w:p w:rsidR="00DF3F33" w:rsidRPr="00DF3F33" w:rsidRDefault="00DF3F33" w:rsidP="00DF3F33">
      <w:pPr>
        <w:spacing w:before="100" w:beforeAutospacing="1" w:after="100" w:afterAutospacing="1" w:line="276" w:lineRule="auto"/>
        <w:ind w:left="720"/>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A scholarly secondary source is a monograph, book chapter, journal article or conference paper that has been peer reviewed. You may also use official reports (for example by a committee of the Australian Parliament or a body such as the Australian Competition and Consumer Commission or Australian Law Reform Commission) and pre-prints that appear in SSRN.com. </w:t>
      </w:r>
    </w:p>
    <w:p w:rsidR="00DF3F33" w:rsidRPr="00DF3F33" w:rsidRDefault="00DF3F33" w:rsidP="00DF3F33">
      <w:pPr>
        <w:spacing w:before="100" w:beforeAutospacing="1" w:after="100" w:afterAutospacing="1" w:line="276" w:lineRule="auto"/>
        <w:ind w:left="720"/>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Wikipedia, blogs, newspapers and magazines are </w:t>
      </w:r>
      <w:r w:rsidRPr="00DF3F33">
        <w:rPr>
          <w:rFonts w:ascii="CIDFont+F6" w:eastAsia="Times New Roman" w:hAnsi="CIDFont+F6" w:cs="Times New Roman"/>
          <w:position w:val="0"/>
          <w:szCs w:val="22"/>
        </w:rPr>
        <w:t xml:space="preserve">not </w:t>
      </w:r>
      <w:r w:rsidRPr="00DF3F33">
        <w:rPr>
          <w:rFonts w:ascii="CIDFont+F2" w:eastAsia="Times New Roman" w:hAnsi="CIDFont+F2" w:cs="Times New Roman"/>
          <w:position w:val="0"/>
          <w:szCs w:val="22"/>
        </w:rPr>
        <w:t xml:space="preserve">scholarly sources.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b/>
          <w:position w:val="0"/>
          <w:szCs w:val="22"/>
        </w:rPr>
        <w:t>Component 2: Video</w:t>
      </w:r>
      <w:r w:rsidRPr="00DF3F33">
        <w:rPr>
          <w:rFonts w:ascii="CIDFont+F2" w:eastAsia="Times New Roman" w:hAnsi="CIDFont+F2" w:cs="Times New Roman"/>
          <w:position w:val="0"/>
          <w:szCs w:val="22"/>
        </w:rPr>
        <w:br/>
        <w:t xml:space="preserve">Provide a three-minute video that explains your key points and your recommendation from the written brief.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The video may be made using a mobile phone, desktop computer, standalone digital camera, laptop or tablet.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Marking will be on the basis of content rather than production. You are not expected to use video-editing software. It is sufficient for example to make a video in which you talk about your recommendation/s that feature in your written brief. You can speak ‘off the cuff’, with the support of a script or respond to spoken questions by a peer. Do not simply read the written component in front of a camera word for word.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You do not need to use PowerPoint slides, please speak directly to the camera. To assess communication skills, markers need to be able to see the presenter.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Note that your video must be audible. That means you may need to make several practice recordings.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1" w:eastAsia="Times New Roman" w:hAnsi="CIDFont+F1" w:cs="Times New Roman"/>
          <w:position w:val="0"/>
          <w:szCs w:val="22"/>
        </w:rPr>
        <w:t xml:space="preserve">Referencing expectations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Written brief</w:t>
      </w:r>
      <w:r w:rsidRPr="00DF3F33">
        <w:rPr>
          <w:rFonts w:ascii="CIDFont+F2" w:eastAsia="Times New Roman" w:hAnsi="CIDFont+F2" w:cs="Times New Roman"/>
          <w:position w:val="0"/>
          <w:szCs w:val="22"/>
        </w:rPr>
        <w:br/>
        <w:t xml:space="preserve">If you are a Law student or Justice Studies student, please use AGLC4 for referencing. Please include your citations in footnotes. Please do not include discussion in footnotes, only citations and words required to introduce citations like ‘for example’.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lastRenderedPageBreak/>
        <w:t xml:space="preserve">If you are a student in another discipline, please use the citation style required in your degree, </w:t>
      </w:r>
      <w:proofErr w:type="spellStart"/>
      <w:r w:rsidRPr="00DF3F33">
        <w:rPr>
          <w:rFonts w:ascii="CIDFont+F2" w:eastAsia="Times New Roman" w:hAnsi="CIDFont+F2" w:cs="Times New Roman"/>
          <w:position w:val="0"/>
          <w:szCs w:val="22"/>
        </w:rPr>
        <w:t>eg</w:t>
      </w:r>
      <w:proofErr w:type="spellEnd"/>
      <w:r w:rsidRPr="00DF3F33">
        <w:rPr>
          <w:rFonts w:ascii="CIDFont+F2" w:eastAsia="Times New Roman" w:hAnsi="CIDFont+F2" w:cs="Times New Roman"/>
          <w:position w:val="0"/>
          <w:szCs w:val="22"/>
        </w:rPr>
        <w:t xml:space="preserve"> Harvard or APA. If this requires you to use in-text citations and endnotes, please follow this usual practice. Please do not include discussion in footnotes or endnotes, only citations and words required to introduce citations like ‘for example’.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Video</w:t>
      </w:r>
      <w:r w:rsidRPr="00DF3F33">
        <w:rPr>
          <w:rFonts w:ascii="CIDFont+F2" w:eastAsia="Times New Roman" w:hAnsi="CIDFont+F2" w:cs="Times New Roman"/>
          <w:position w:val="0"/>
          <w:szCs w:val="22"/>
        </w:rPr>
        <w:br/>
        <w:t xml:space="preserve">You do not need to provide citations in the video given that it draws on the written brief.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1" w:eastAsia="Times New Roman" w:hAnsi="CIDFont+F1" w:cs="Times New Roman"/>
          <w:position w:val="0"/>
          <w:szCs w:val="22"/>
        </w:rPr>
        <w:t xml:space="preserve">Marking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The markers are looking for analysis and effective communication. We are looking for insights and clarity, rather than a summary of the legislation or explanatory memoranda.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Marking will reflect the range of students and skills in the unit. The markers are not expecting every student to have undertaken legal study.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Marking Criteria for the written brief:</w:t>
      </w:r>
      <w:r w:rsidRPr="00DF3F33">
        <w:rPr>
          <w:rFonts w:ascii="CIDFont+F2" w:eastAsia="Times New Roman" w:hAnsi="CIDFont+F2" w:cs="Times New Roman"/>
          <w:position w:val="0"/>
          <w:szCs w:val="22"/>
        </w:rPr>
        <w:br/>
      </w:r>
      <w:r w:rsidRPr="00DF3F33">
        <w:rPr>
          <w:rFonts w:ascii="CIDFont+F7" w:eastAsia="Times New Roman" w:hAnsi="CIDFont+F7" w:cs="Times New Roman"/>
          <w:position w:val="0"/>
          <w:sz w:val="20"/>
          <w:szCs w:val="20"/>
        </w:rPr>
        <w:t xml:space="preserve">o </w:t>
      </w:r>
      <w:r w:rsidRPr="00DF3F33">
        <w:rPr>
          <w:rFonts w:ascii="CIDFont+F2" w:eastAsia="Times New Roman" w:hAnsi="CIDFont+F2" w:cs="Times New Roman"/>
          <w:position w:val="0"/>
          <w:szCs w:val="22"/>
        </w:rPr>
        <w:t>Compliance with assignment instructions</w:t>
      </w:r>
      <w:r w:rsidRPr="00DF3F33">
        <w:rPr>
          <w:rFonts w:ascii="CIDFont+F2" w:eastAsia="Times New Roman" w:hAnsi="CIDFont+F2" w:cs="Times New Roman"/>
          <w:position w:val="0"/>
          <w:szCs w:val="22"/>
        </w:rPr>
        <w:br/>
      </w:r>
      <w:r w:rsidRPr="00DF3F33">
        <w:rPr>
          <w:rFonts w:ascii="CIDFont+F7" w:eastAsia="Times New Roman" w:hAnsi="CIDFont+F7" w:cs="Times New Roman"/>
          <w:position w:val="0"/>
          <w:sz w:val="20"/>
          <w:szCs w:val="20"/>
        </w:rPr>
        <w:t xml:space="preserve">o </w:t>
      </w:r>
      <w:r w:rsidRPr="00DF3F33">
        <w:rPr>
          <w:rFonts w:ascii="CIDFont+F2" w:eastAsia="Times New Roman" w:hAnsi="CIDFont+F2" w:cs="Times New Roman"/>
          <w:position w:val="0"/>
          <w:szCs w:val="22"/>
        </w:rPr>
        <w:t>Identification and analysis of relevant law</w:t>
      </w:r>
      <w:r w:rsidRPr="00DF3F33">
        <w:rPr>
          <w:rFonts w:ascii="CIDFont+F2" w:eastAsia="Times New Roman" w:hAnsi="CIDFont+F2" w:cs="Times New Roman"/>
          <w:position w:val="0"/>
          <w:szCs w:val="22"/>
        </w:rPr>
        <w:br/>
      </w:r>
      <w:r w:rsidRPr="00DF3F33">
        <w:rPr>
          <w:rFonts w:ascii="CIDFont+F7" w:eastAsia="Times New Roman" w:hAnsi="CIDFont+F7" w:cs="Times New Roman"/>
          <w:position w:val="0"/>
          <w:sz w:val="20"/>
          <w:szCs w:val="20"/>
        </w:rPr>
        <w:t xml:space="preserve">o </w:t>
      </w:r>
      <w:r w:rsidRPr="00DF3F33">
        <w:rPr>
          <w:rFonts w:ascii="CIDFont+F2" w:eastAsia="Times New Roman" w:hAnsi="CIDFont+F2" w:cs="Times New Roman"/>
          <w:position w:val="0"/>
          <w:szCs w:val="22"/>
        </w:rPr>
        <w:t xml:space="preserve">Concise and clear expression, including correct syntax, grammar and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spelling</w:t>
      </w:r>
      <w:r w:rsidRPr="00DF3F33">
        <w:rPr>
          <w:rFonts w:ascii="CIDFont+F2" w:eastAsia="Times New Roman" w:hAnsi="CIDFont+F2" w:cs="Times New Roman"/>
          <w:position w:val="0"/>
          <w:szCs w:val="22"/>
        </w:rPr>
        <w:br/>
      </w:r>
      <w:r w:rsidRPr="00DF3F33">
        <w:rPr>
          <w:rFonts w:ascii="CIDFont+F7" w:eastAsia="Times New Roman" w:hAnsi="CIDFont+F7" w:cs="Times New Roman"/>
          <w:position w:val="0"/>
          <w:sz w:val="20"/>
          <w:szCs w:val="20"/>
        </w:rPr>
        <w:t xml:space="preserve">o </w:t>
      </w:r>
      <w:r w:rsidRPr="00DF3F33">
        <w:rPr>
          <w:rFonts w:ascii="CIDFont+F2" w:eastAsia="Times New Roman" w:hAnsi="CIDFont+F2" w:cs="Times New Roman"/>
          <w:position w:val="0"/>
          <w:szCs w:val="22"/>
        </w:rPr>
        <w:t xml:space="preserve">Citations included where appropriate and in compliance with the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Australian Guide to Legal Citation 4th Edition (Law and Justice Studies </w:t>
      </w:r>
      <w:r>
        <w:rPr>
          <w:rFonts w:ascii="CIDFont+F2" w:eastAsia="Times New Roman" w:hAnsi="CIDFont+F2" w:cs="Times New Roman"/>
          <w:position w:val="0"/>
          <w:szCs w:val="22"/>
        </w:rPr>
        <w:t xml:space="preserve">students) or the citation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Marking Criteria for the video:</w:t>
      </w:r>
      <w:r w:rsidRPr="00DF3F33">
        <w:rPr>
          <w:rFonts w:ascii="CIDFont+F2" w:eastAsia="Times New Roman" w:hAnsi="CIDFont+F2" w:cs="Times New Roman"/>
          <w:position w:val="0"/>
          <w:szCs w:val="22"/>
        </w:rPr>
        <w:br/>
      </w:r>
      <w:r w:rsidRPr="00DF3F33">
        <w:rPr>
          <w:rFonts w:ascii="CIDFont+F7" w:eastAsia="Times New Roman" w:hAnsi="CIDFont+F7" w:cs="Times New Roman"/>
          <w:position w:val="0"/>
          <w:sz w:val="20"/>
          <w:szCs w:val="20"/>
        </w:rPr>
        <w:t xml:space="preserve">o </w:t>
      </w:r>
      <w:r w:rsidRPr="00DF3F33">
        <w:rPr>
          <w:rFonts w:ascii="CIDFont+F2" w:eastAsia="Times New Roman" w:hAnsi="CIDFont+F2" w:cs="Times New Roman"/>
          <w:position w:val="0"/>
          <w:szCs w:val="22"/>
        </w:rPr>
        <w:t>Compliance with assignment instructions</w:t>
      </w:r>
      <w:r w:rsidRPr="00DF3F33">
        <w:rPr>
          <w:rFonts w:ascii="CIDFont+F2" w:eastAsia="Times New Roman" w:hAnsi="CIDFont+F2" w:cs="Times New Roman"/>
          <w:position w:val="0"/>
          <w:szCs w:val="22"/>
        </w:rPr>
        <w:br/>
      </w:r>
      <w:r w:rsidRPr="00DF3F33">
        <w:rPr>
          <w:rFonts w:ascii="CIDFont+F7" w:eastAsia="Times New Roman" w:hAnsi="CIDFont+F7" w:cs="Times New Roman"/>
          <w:position w:val="0"/>
          <w:sz w:val="20"/>
          <w:szCs w:val="20"/>
        </w:rPr>
        <w:t xml:space="preserve">o </w:t>
      </w:r>
      <w:r w:rsidRPr="00DF3F33">
        <w:rPr>
          <w:rFonts w:ascii="CIDFont+F2" w:eastAsia="Times New Roman" w:hAnsi="CIDFont+F2" w:cs="Times New Roman"/>
          <w:position w:val="0"/>
          <w:szCs w:val="22"/>
        </w:rPr>
        <w:t>Audibility of video presentation</w:t>
      </w:r>
      <w:r w:rsidRPr="00DF3F33">
        <w:rPr>
          <w:rFonts w:ascii="CIDFont+F2" w:eastAsia="Times New Roman" w:hAnsi="CIDFont+F2" w:cs="Times New Roman"/>
          <w:position w:val="0"/>
          <w:szCs w:val="22"/>
        </w:rPr>
        <w:br/>
      </w:r>
      <w:proofErr w:type="spellStart"/>
      <w:r w:rsidRPr="00DF3F33">
        <w:rPr>
          <w:rFonts w:ascii="CIDFont+F7" w:eastAsia="Times New Roman" w:hAnsi="CIDFont+F7" w:cs="Times New Roman"/>
          <w:position w:val="0"/>
          <w:sz w:val="20"/>
          <w:szCs w:val="20"/>
        </w:rPr>
        <w:t>o</w:t>
      </w:r>
      <w:proofErr w:type="spellEnd"/>
      <w:r w:rsidRPr="00DF3F33">
        <w:rPr>
          <w:rFonts w:ascii="CIDFont+F7" w:eastAsia="Times New Roman" w:hAnsi="CIDFont+F7" w:cs="Times New Roman"/>
          <w:position w:val="0"/>
          <w:sz w:val="20"/>
          <w:szCs w:val="20"/>
        </w:rPr>
        <w:t xml:space="preserve"> </w:t>
      </w:r>
      <w:r w:rsidRPr="00DF3F33">
        <w:rPr>
          <w:rFonts w:ascii="CIDFont+F2" w:eastAsia="Times New Roman" w:hAnsi="CIDFont+F2" w:cs="Times New Roman"/>
          <w:position w:val="0"/>
          <w:szCs w:val="22"/>
        </w:rPr>
        <w:t xml:space="preserve">Accuracy and relevance of comments (including identification and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analysis of relevant law)</w:t>
      </w:r>
      <w:r w:rsidRPr="00DF3F33">
        <w:rPr>
          <w:rFonts w:ascii="CIDFont+F2" w:eastAsia="Times New Roman" w:hAnsi="CIDFont+F2" w:cs="Times New Roman"/>
          <w:position w:val="0"/>
          <w:szCs w:val="22"/>
        </w:rPr>
        <w:br/>
      </w:r>
      <w:r w:rsidRPr="00DF3F33">
        <w:rPr>
          <w:rFonts w:ascii="CIDFont+F7" w:eastAsia="Times New Roman" w:hAnsi="CIDFont+F7" w:cs="Times New Roman"/>
          <w:position w:val="0"/>
          <w:sz w:val="20"/>
          <w:szCs w:val="20"/>
        </w:rPr>
        <w:t xml:space="preserve">o </w:t>
      </w:r>
      <w:r w:rsidRPr="00DF3F33">
        <w:rPr>
          <w:rFonts w:ascii="CIDFont+F2" w:eastAsia="Times New Roman" w:hAnsi="CIDFont+F2" w:cs="Times New Roman"/>
          <w:position w:val="0"/>
          <w:szCs w:val="22"/>
        </w:rPr>
        <w:t xml:space="preserve">Effective verbal communication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1" w:eastAsia="Times New Roman" w:hAnsi="CIDFont+F1" w:cs="Times New Roman"/>
          <w:position w:val="0"/>
          <w:szCs w:val="22"/>
        </w:rPr>
        <w:t xml:space="preserve">Queries about the task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For questions about this task that are not answered in these instructions, in the Unit Outline or on the Canvas site, please raise the question in tutorials, or on the ‘Questions about the Unit’ Canvas discussion forum, or contact your Tutor.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p>
    <w:p w:rsidR="00DF3F33" w:rsidRDefault="00DF3F33" w:rsidP="00DF3F33">
      <w:pPr>
        <w:spacing w:before="100" w:beforeAutospacing="1" w:after="100" w:afterAutospacing="1" w:line="276" w:lineRule="auto"/>
        <w:rPr>
          <w:rFonts w:ascii="CIDFont+F1" w:eastAsia="Times New Roman" w:hAnsi="CIDFont+F1" w:cs="Times New Roman"/>
          <w:position w:val="0"/>
          <w:szCs w:val="22"/>
        </w:rPr>
      </w:pPr>
    </w:p>
    <w:p w:rsidR="00DF3F33" w:rsidRDefault="00DF3F33" w:rsidP="00DF3F33">
      <w:pPr>
        <w:spacing w:before="100" w:beforeAutospacing="1" w:after="100" w:afterAutospacing="1" w:line="276" w:lineRule="auto"/>
        <w:rPr>
          <w:rFonts w:ascii="CIDFont+F1" w:eastAsia="Times New Roman" w:hAnsi="CIDFont+F1" w:cs="Times New Roman"/>
          <w:position w:val="0"/>
          <w:szCs w:val="22"/>
        </w:rPr>
      </w:pPr>
    </w:p>
    <w:p w:rsidR="00DF3F33" w:rsidRPr="00DF3F33" w:rsidRDefault="00DF3F33" w:rsidP="00DF3F33">
      <w:pPr>
        <w:spacing w:before="100" w:beforeAutospacing="1" w:after="100" w:afterAutospacing="1" w:line="276" w:lineRule="auto"/>
        <w:rPr>
          <w:rFonts w:ascii="Times New Roman" w:eastAsia="Times New Roman" w:hAnsi="Times New Roman" w:cs="Times New Roman"/>
          <w:b/>
          <w:position w:val="0"/>
          <w:sz w:val="24"/>
        </w:rPr>
      </w:pPr>
      <w:r w:rsidRPr="00DF3F33">
        <w:rPr>
          <w:rFonts w:ascii="CIDFont+F1" w:eastAsia="Times New Roman" w:hAnsi="CIDFont+F1" w:cs="Times New Roman"/>
          <w:b/>
          <w:position w:val="0"/>
          <w:szCs w:val="22"/>
        </w:rPr>
        <w:lastRenderedPageBreak/>
        <w:t xml:space="preserve">Learning outcomes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This assignment supports all three learning outcomes.</w:t>
      </w:r>
      <w:r w:rsidRPr="00DF3F33">
        <w:rPr>
          <w:rFonts w:ascii="CIDFont+F2" w:eastAsia="Times New Roman" w:hAnsi="CIDFont+F2" w:cs="Times New Roman"/>
          <w:position w:val="0"/>
          <w:szCs w:val="22"/>
        </w:rPr>
        <w:br/>
        <w:t xml:space="preserve">After successful completion of this unit, students will be able to: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1. Apply and analyse legal processes to understand law reform and regulation in the context of technology and society;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2. Create and evaluate legal arguments demonstrating the operation of existing legal frameworks, and arguing for reform using (advanced) legal communication skills; and </w:t>
      </w:r>
    </w:p>
    <w:p w:rsidR="00DF3F33" w:rsidRPr="00DF3F33" w:rsidRDefault="00DF3F33" w:rsidP="00DF3F33">
      <w:pPr>
        <w:spacing w:before="100" w:beforeAutospacing="1" w:after="100" w:afterAutospacing="1" w:line="276" w:lineRule="auto"/>
        <w:rPr>
          <w:rFonts w:ascii="Times New Roman" w:eastAsia="Times New Roman" w:hAnsi="Times New Roman" w:cs="Times New Roman"/>
          <w:position w:val="0"/>
          <w:sz w:val="24"/>
        </w:rPr>
      </w:pPr>
      <w:r w:rsidRPr="00DF3F33">
        <w:rPr>
          <w:rFonts w:ascii="CIDFont+F2" w:eastAsia="Times New Roman" w:hAnsi="CIDFont+F2" w:cs="Times New Roman"/>
          <w:position w:val="0"/>
          <w:szCs w:val="22"/>
        </w:rPr>
        <w:t xml:space="preserve">3. Create and evaluate arguments about the impact of technologies on society and law's role in moderating or mediating technological disruption. </w:t>
      </w:r>
    </w:p>
    <w:p w:rsidR="00415A15" w:rsidRDefault="00DF3F33"/>
    <w:sectPr w:rsidR="00415A15" w:rsidSect="00611BF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2020603050405020304"/>
    <w:charset w:val="00"/>
    <w:family w:val="roman"/>
    <w:pitch w:val="variable"/>
    <w:sig w:usb0="E0002AEF" w:usb1="C0007841" w:usb2="00000009" w:usb3="00000000" w:csb0="000001FF" w:csb1="00000000"/>
  </w:font>
  <w:font w:name="CIDFont+F1">
    <w:altName w:val="Cambria"/>
    <w:panose1 w:val="020B0604020202020204"/>
    <w:charset w:val="00"/>
    <w:family w:val="roman"/>
    <w:notTrueType/>
    <w:pitch w:val="default"/>
  </w:font>
  <w:font w:name="CIDFont+F2">
    <w:altName w:val="Cambria"/>
    <w:panose1 w:val="020B0604020202020204"/>
    <w:charset w:val="00"/>
    <w:family w:val="roman"/>
    <w:notTrueType/>
    <w:pitch w:val="default"/>
  </w:font>
  <w:font w:name="CIDFont+F3">
    <w:altName w:val="Cambria"/>
    <w:panose1 w:val="020B0604020202020204"/>
    <w:charset w:val="00"/>
    <w:family w:val="roman"/>
    <w:notTrueType/>
    <w:pitch w:val="default"/>
  </w:font>
  <w:font w:name="CIDFont+F6">
    <w:altName w:val="Cambria"/>
    <w:panose1 w:val="020B0604020202020204"/>
    <w:charset w:val="00"/>
    <w:family w:val="roman"/>
    <w:notTrueType/>
    <w:pitch w:val="default"/>
  </w:font>
  <w:font w:name="CIDFont+F5">
    <w:altName w:val="Cambria"/>
    <w:panose1 w:val="020B0604020202020204"/>
    <w:charset w:val="00"/>
    <w:family w:val="roman"/>
    <w:notTrueType/>
    <w:pitch w:val="default"/>
  </w:font>
  <w:font w:name="CIDFont+F7">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80DC6"/>
    <w:multiLevelType w:val="multilevel"/>
    <w:tmpl w:val="128CC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FF75E7"/>
    <w:multiLevelType w:val="multilevel"/>
    <w:tmpl w:val="E7228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AF1615"/>
    <w:multiLevelType w:val="multilevel"/>
    <w:tmpl w:val="A156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077A3B"/>
    <w:multiLevelType w:val="multilevel"/>
    <w:tmpl w:val="DB68A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F33"/>
    <w:rsid w:val="00611BF6"/>
    <w:rsid w:val="007C3171"/>
    <w:rsid w:val="00D9107C"/>
    <w:rsid w:val="00DF3F33"/>
    <w:rsid w:val="00E96F78"/>
    <w:rsid w:val="00F957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A02073D"/>
  <w15:chartTrackingRefBased/>
  <w15:docId w15:val="{162F8258-B8C7-FD4E-937E-CAD69E7CB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imes New Roman (Body CS)"/>
        <w:position w:val="3"/>
        <w:sz w:val="22"/>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F3F33"/>
    <w:pPr>
      <w:spacing w:before="100" w:beforeAutospacing="1" w:after="100" w:afterAutospacing="1"/>
    </w:pPr>
    <w:rPr>
      <w:rFonts w:ascii="Times New Roman" w:eastAsia="Times New Roman" w:hAnsi="Times New Roman" w:cs="Times New Roman"/>
      <w:positio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024314">
      <w:bodyDiv w:val="1"/>
      <w:marLeft w:val="0"/>
      <w:marRight w:val="0"/>
      <w:marTop w:val="0"/>
      <w:marBottom w:val="0"/>
      <w:divBdr>
        <w:top w:val="none" w:sz="0" w:space="0" w:color="auto"/>
        <w:left w:val="none" w:sz="0" w:space="0" w:color="auto"/>
        <w:bottom w:val="none" w:sz="0" w:space="0" w:color="auto"/>
        <w:right w:val="none" w:sz="0" w:space="0" w:color="auto"/>
      </w:divBdr>
      <w:divsChild>
        <w:div w:id="1349218706">
          <w:marLeft w:val="0"/>
          <w:marRight w:val="0"/>
          <w:marTop w:val="0"/>
          <w:marBottom w:val="0"/>
          <w:divBdr>
            <w:top w:val="none" w:sz="0" w:space="0" w:color="auto"/>
            <w:left w:val="none" w:sz="0" w:space="0" w:color="auto"/>
            <w:bottom w:val="none" w:sz="0" w:space="0" w:color="auto"/>
            <w:right w:val="none" w:sz="0" w:space="0" w:color="auto"/>
          </w:divBdr>
          <w:divsChild>
            <w:div w:id="336350732">
              <w:marLeft w:val="0"/>
              <w:marRight w:val="0"/>
              <w:marTop w:val="0"/>
              <w:marBottom w:val="0"/>
              <w:divBdr>
                <w:top w:val="none" w:sz="0" w:space="0" w:color="auto"/>
                <w:left w:val="none" w:sz="0" w:space="0" w:color="auto"/>
                <w:bottom w:val="none" w:sz="0" w:space="0" w:color="auto"/>
                <w:right w:val="none" w:sz="0" w:space="0" w:color="auto"/>
              </w:divBdr>
              <w:divsChild>
                <w:div w:id="80558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599825">
      <w:bodyDiv w:val="1"/>
      <w:marLeft w:val="0"/>
      <w:marRight w:val="0"/>
      <w:marTop w:val="0"/>
      <w:marBottom w:val="0"/>
      <w:divBdr>
        <w:top w:val="none" w:sz="0" w:space="0" w:color="auto"/>
        <w:left w:val="none" w:sz="0" w:space="0" w:color="auto"/>
        <w:bottom w:val="none" w:sz="0" w:space="0" w:color="auto"/>
        <w:right w:val="none" w:sz="0" w:space="0" w:color="auto"/>
      </w:divBdr>
      <w:divsChild>
        <w:div w:id="2102024629">
          <w:marLeft w:val="0"/>
          <w:marRight w:val="0"/>
          <w:marTop w:val="0"/>
          <w:marBottom w:val="0"/>
          <w:divBdr>
            <w:top w:val="none" w:sz="0" w:space="0" w:color="auto"/>
            <w:left w:val="none" w:sz="0" w:space="0" w:color="auto"/>
            <w:bottom w:val="none" w:sz="0" w:space="0" w:color="auto"/>
            <w:right w:val="none" w:sz="0" w:space="0" w:color="auto"/>
          </w:divBdr>
          <w:divsChild>
            <w:div w:id="1994409652">
              <w:marLeft w:val="0"/>
              <w:marRight w:val="0"/>
              <w:marTop w:val="0"/>
              <w:marBottom w:val="0"/>
              <w:divBdr>
                <w:top w:val="none" w:sz="0" w:space="0" w:color="auto"/>
                <w:left w:val="none" w:sz="0" w:space="0" w:color="auto"/>
                <w:bottom w:val="none" w:sz="0" w:space="0" w:color="auto"/>
                <w:right w:val="none" w:sz="0" w:space="0" w:color="auto"/>
              </w:divBdr>
              <w:divsChild>
                <w:div w:id="172969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909719">
          <w:marLeft w:val="0"/>
          <w:marRight w:val="0"/>
          <w:marTop w:val="0"/>
          <w:marBottom w:val="0"/>
          <w:divBdr>
            <w:top w:val="none" w:sz="0" w:space="0" w:color="auto"/>
            <w:left w:val="none" w:sz="0" w:space="0" w:color="auto"/>
            <w:bottom w:val="none" w:sz="0" w:space="0" w:color="auto"/>
            <w:right w:val="none" w:sz="0" w:space="0" w:color="auto"/>
          </w:divBdr>
          <w:divsChild>
            <w:div w:id="402945152">
              <w:marLeft w:val="0"/>
              <w:marRight w:val="0"/>
              <w:marTop w:val="0"/>
              <w:marBottom w:val="0"/>
              <w:divBdr>
                <w:top w:val="none" w:sz="0" w:space="0" w:color="auto"/>
                <w:left w:val="none" w:sz="0" w:space="0" w:color="auto"/>
                <w:bottom w:val="none" w:sz="0" w:space="0" w:color="auto"/>
                <w:right w:val="none" w:sz="0" w:space="0" w:color="auto"/>
              </w:divBdr>
              <w:divsChild>
                <w:div w:id="185675306">
                  <w:marLeft w:val="0"/>
                  <w:marRight w:val="0"/>
                  <w:marTop w:val="0"/>
                  <w:marBottom w:val="0"/>
                  <w:divBdr>
                    <w:top w:val="none" w:sz="0" w:space="0" w:color="auto"/>
                    <w:left w:val="none" w:sz="0" w:space="0" w:color="auto"/>
                    <w:bottom w:val="none" w:sz="0" w:space="0" w:color="auto"/>
                    <w:right w:val="none" w:sz="0" w:space="0" w:color="auto"/>
                  </w:divBdr>
                </w:div>
              </w:divsChild>
            </w:div>
            <w:div w:id="701395811">
              <w:marLeft w:val="0"/>
              <w:marRight w:val="0"/>
              <w:marTop w:val="0"/>
              <w:marBottom w:val="0"/>
              <w:divBdr>
                <w:top w:val="none" w:sz="0" w:space="0" w:color="auto"/>
                <w:left w:val="none" w:sz="0" w:space="0" w:color="auto"/>
                <w:bottom w:val="none" w:sz="0" w:space="0" w:color="auto"/>
                <w:right w:val="none" w:sz="0" w:space="0" w:color="auto"/>
              </w:divBdr>
              <w:divsChild>
                <w:div w:id="85283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367659">
          <w:marLeft w:val="0"/>
          <w:marRight w:val="0"/>
          <w:marTop w:val="0"/>
          <w:marBottom w:val="0"/>
          <w:divBdr>
            <w:top w:val="none" w:sz="0" w:space="0" w:color="auto"/>
            <w:left w:val="none" w:sz="0" w:space="0" w:color="auto"/>
            <w:bottom w:val="none" w:sz="0" w:space="0" w:color="auto"/>
            <w:right w:val="none" w:sz="0" w:space="0" w:color="auto"/>
          </w:divBdr>
          <w:divsChild>
            <w:div w:id="4789867">
              <w:marLeft w:val="0"/>
              <w:marRight w:val="0"/>
              <w:marTop w:val="0"/>
              <w:marBottom w:val="0"/>
              <w:divBdr>
                <w:top w:val="none" w:sz="0" w:space="0" w:color="auto"/>
                <w:left w:val="none" w:sz="0" w:space="0" w:color="auto"/>
                <w:bottom w:val="none" w:sz="0" w:space="0" w:color="auto"/>
                <w:right w:val="none" w:sz="0" w:space="0" w:color="auto"/>
              </w:divBdr>
              <w:divsChild>
                <w:div w:id="1074620013">
                  <w:marLeft w:val="0"/>
                  <w:marRight w:val="0"/>
                  <w:marTop w:val="0"/>
                  <w:marBottom w:val="0"/>
                  <w:divBdr>
                    <w:top w:val="none" w:sz="0" w:space="0" w:color="auto"/>
                    <w:left w:val="none" w:sz="0" w:space="0" w:color="auto"/>
                    <w:bottom w:val="none" w:sz="0" w:space="0" w:color="auto"/>
                    <w:right w:val="none" w:sz="0" w:space="0" w:color="auto"/>
                  </w:divBdr>
                </w:div>
              </w:divsChild>
            </w:div>
            <w:div w:id="1016804746">
              <w:marLeft w:val="0"/>
              <w:marRight w:val="0"/>
              <w:marTop w:val="0"/>
              <w:marBottom w:val="0"/>
              <w:divBdr>
                <w:top w:val="none" w:sz="0" w:space="0" w:color="auto"/>
                <w:left w:val="none" w:sz="0" w:space="0" w:color="auto"/>
                <w:bottom w:val="none" w:sz="0" w:space="0" w:color="auto"/>
                <w:right w:val="none" w:sz="0" w:space="0" w:color="auto"/>
              </w:divBdr>
              <w:divsChild>
                <w:div w:id="60627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209321">
          <w:marLeft w:val="0"/>
          <w:marRight w:val="0"/>
          <w:marTop w:val="0"/>
          <w:marBottom w:val="0"/>
          <w:divBdr>
            <w:top w:val="none" w:sz="0" w:space="0" w:color="auto"/>
            <w:left w:val="none" w:sz="0" w:space="0" w:color="auto"/>
            <w:bottom w:val="none" w:sz="0" w:space="0" w:color="auto"/>
            <w:right w:val="none" w:sz="0" w:space="0" w:color="auto"/>
          </w:divBdr>
          <w:divsChild>
            <w:div w:id="1455174961">
              <w:marLeft w:val="0"/>
              <w:marRight w:val="0"/>
              <w:marTop w:val="0"/>
              <w:marBottom w:val="0"/>
              <w:divBdr>
                <w:top w:val="none" w:sz="0" w:space="0" w:color="auto"/>
                <w:left w:val="none" w:sz="0" w:space="0" w:color="auto"/>
                <w:bottom w:val="none" w:sz="0" w:space="0" w:color="auto"/>
                <w:right w:val="none" w:sz="0" w:space="0" w:color="auto"/>
              </w:divBdr>
              <w:divsChild>
                <w:div w:id="25101104">
                  <w:marLeft w:val="0"/>
                  <w:marRight w:val="0"/>
                  <w:marTop w:val="0"/>
                  <w:marBottom w:val="0"/>
                  <w:divBdr>
                    <w:top w:val="none" w:sz="0" w:space="0" w:color="auto"/>
                    <w:left w:val="none" w:sz="0" w:space="0" w:color="auto"/>
                    <w:bottom w:val="none" w:sz="0" w:space="0" w:color="auto"/>
                    <w:right w:val="none" w:sz="0" w:space="0" w:color="auto"/>
                  </w:divBdr>
                </w:div>
              </w:divsChild>
            </w:div>
            <w:div w:id="69742739">
              <w:marLeft w:val="0"/>
              <w:marRight w:val="0"/>
              <w:marTop w:val="0"/>
              <w:marBottom w:val="0"/>
              <w:divBdr>
                <w:top w:val="none" w:sz="0" w:space="0" w:color="auto"/>
                <w:left w:val="none" w:sz="0" w:space="0" w:color="auto"/>
                <w:bottom w:val="none" w:sz="0" w:space="0" w:color="auto"/>
                <w:right w:val="none" w:sz="0" w:space="0" w:color="auto"/>
              </w:divBdr>
              <w:divsChild>
                <w:div w:id="63179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1287</Words>
  <Characters>7336</Characters>
  <Application>Microsoft Office Word</Application>
  <DocSecurity>0</DocSecurity>
  <Lines>61</Lines>
  <Paragraphs>17</Paragraphs>
  <ScaleCrop>false</ScaleCrop>
  <Company/>
  <LinksUpToDate>false</LinksUpToDate>
  <CharactersWithSpaces>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2021-10-04T02:49:00Z</dcterms:created>
  <dcterms:modified xsi:type="dcterms:W3CDTF">2021-10-04T02:54:00Z</dcterms:modified>
</cp:coreProperties>
</file>